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Mookerji Suman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ANTON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DUCOMMUN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S.V.P.,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COSTA MESA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92626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3,837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13"/>
              <w:spacing w:after="0" w:line="319"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36,017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2,063</w:t>
            </w:r>
            <w:r>
              <w:rPr>
                <w:rFonts w:ascii="Times New Roman" w:cs="Times New Roman" w:eastAsia="Times New Roman" w:hAnsi="Times New Roman"/>
                <w:sz w:val="22"/>
                <w:szCs w:val="22"/>
                <w:color w:val="008000"/>
                <w:w w:val="93"/>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57.65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33,954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7,597</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29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41,551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6"/>
              <w:spacing w:after="0"/>
              <w:rPr>
                <w:sz w:val="20"/>
                <w:szCs w:val="20"/>
                <w:color w:val="auto"/>
              </w:rPr>
            </w:pPr>
            <w:r>
              <w:rPr>
                <w:rFonts w:ascii="Times New Roman" w:cs="Times New Roman" w:eastAsia="Times New Roman" w:hAnsi="Times New Roman"/>
                <w:sz w:val="17"/>
                <w:szCs w:val="17"/>
                <w:color w:val="0000FF"/>
              </w:rPr>
              <w:t>03/05/2025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1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57.09</w:t>
            </w:r>
            <w:r>
              <w:rPr>
                <w:rFonts w:ascii="Times New Roman" w:cs="Times New Roman" w:eastAsia="Times New Roman" w:hAnsi="Times New Roman"/>
                <w:sz w:val="22"/>
                <w:szCs w:val="22"/>
                <w:color w:val="008000"/>
                <w:w w:val="95"/>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45,551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upon the settlement of performance stock units granted on June 22, 2022 under the Ducommun Incorporated Stock Incentive Plan as a result of the satisfaction of performance criteria underlying the award.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as compensation for services.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reduction in shares to satisfy the tax withholding obligations of the Issuer with respect to the settlement, on March 5, 2025, of 3,837 performance stock units as described in footnote (1) above.</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acquired securities were purchased in multiple transactions on March 5 - 7, 2025 at prices ranging from $56.50 to $57.60, inclusive. The price reported above represents the weighted average purchase price of the transactions. Upon request, the reporting person hereby undertakes to provide to the staff of the Securities and Exchange Commission, the Issuer, or any security holder of the Issuer, full information regarding the number of shares purchased and the price at which each transaction was effected.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Suman B. Mookerji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03/07/2025</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5924" TargetMode="External"/><Relationship Id="rId14" Type="http://schemas.openxmlformats.org/officeDocument/2006/relationships/hyperlink" Target="http://www.sec.gov/cgi-bin/browse-edgar?action=getcompany&amp;CIK=00000303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2025-03-07T16:16:32Z</dcterms:created>
  <dcterms:modified xsi:type="dcterms:W3CDTF">2025-03-07T16:16:32Z</dcterms:modified>
</cp:coreProperties>
</file>